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7676B" w14:textId="77777777" w:rsidR="00906FFC" w:rsidRDefault="00906FFC" w:rsidP="00752893">
      <w:pPr>
        <w:spacing w:line="480" w:lineRule="auto"/>
        <w:jc w:val="center"/>
        <w:rPr>
          <w:rFonts w:ascii="Times New Roman" w:hAnsi="Times New Roman" w:cs="Times New Roman"/>
          <w:sz w:val="24"/>
          <w:szCs w:val="24"/>
          <w:lang w:val="en-US"/>
        </w:rPr>
      </w:pPr>
    </w:p>
    <w:p w14:paraId="29E4CAD3" w14:textId="77777777" w:rsidR="00752893" w:rsidRDefault="00752893" w:rsidP="00752893">
      <w:pPr>
        <w:spacing w:line="480" w:lineRule="auto"/>
        <w:jc w:val="center"/>
        <w:rPr>
          <w:rFonts w:ascii="Times New Roman" w:hAnsi="Times New Roman" w:cs="Times New Roman"/>
          <w:sz w:val="24"/>
          <w:szCs w:val="24"/>
          <w:lang w:val="en-US"/>
        </w:rPr>
      </w:pPr>
    </w:p>
    <w:p w14:paraId="179F882A" w14:textId="77777777" w:rsidR="00752893" w:rsidRDefault="00752893" w:rsidP="00752893">
      <w:pPr>
        <w:spacing w:line="480" w:lineRule="auto"/>
        <w:jc w:val="center"/>
        <w:rPr>
          <w:rFonts w:ascii="Times New Roman" w:hAnsi="Times New Roman" w:cs="Times New Roman"/>
          <w:sz w:val="24"/>
          <w:szCs w:val="24"/>
          <w:lang w:val="en-US"/>
        </w:rPr>
      </w:pPr>
    </w:p>
    <w:p w14:paraId="0FD45BCE" w14:textId="77777777" w:rsidR="00752893" w:rsidRDefault="00752893" w:rsidP="00752893">
      <w:pPr>
        <w:spacing w:line="480" w:lineRule="auto"/>
        <w:jc w:val="center"/>
        <w:rPr>
          <w:rFonts w:ascii="Times New Roman" w:hAnsi="Times New Roman" w:cs="Times New Roman"/>
          <w:sz w:val="24"/>
          <w:szCs w:val="24"/>
          <w:lang w:val="en-US"/>
        </w:rPr>
      </w:pPr>
    </w:p>
    <w:p w14:paraId="0EBC469F" w14:textId="77777777" w:rsidR="00752893" w:rsidRDefault="00752893" w:rsidP="00752893">
      <w:pPr>
        <w:spacing w:line="480" w:lineRule="auto"/>
        <w:jc w:val="center"/>
        <w:rPr>
          <w:rFonts w:ascii="Times New Roman" w:hAnsi="Times New Roman" w:cs="Times New Roman"/>
          <w:sz w:val="24"/>
          <w:szCs w:val="24"/>
          <w:lang w:val="en-US"/>
        </w:rPr>
      </w:pPr>
    </w:p>
    <w:p w14:paraId="41B47E0D" w14:textId="60D2B6D0" w:rsidR="00A37446" w:rsidRDefault="008647FA" w:rsidP="00752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Public </w:t>
      </w:r>
      <w:r w:rsidR="00165F6C">
        <w:rPr>
          <w:rFonts w:ascii="Times New Roman" w:hAnsi="Times New Roman" w:cs="Times New Roman"/>
          <w:sz w:val="24"/>
          <w:szCs w:val="24"/>
          <w:lang w:val="en-US"/>
        </w:rPr>
        <w:t>Perception</w:t>
      </w:r>
      <w:r>
        <w:rPr>
          <w:rFonts w:ascii="Times New Roman" w:hAnsi="Times New Roman" w:cs="Times New Roman"/>
          <w:sz w:val="24"/>
          <w:szCs w:val="24"/>
          <w:lang w:val="en-US"/>
        </w:rPr>
        <w:t xml:space="preserve"> of Policing and Changes </w:t>
      </w:r>
      <w:r w:rsidR="00165F6C">
        <w:rPr>
          <w:rFonts w:ascii="Times New Roman" w:hAnsi="Times New Roman" w:cs="Times New Roman"/>
          <w:sz w:val="24"/>
          <w:szCs w:val="24"/>
          <w:lang w:val="en-US"/>
        </w:rPr>
        <w:t>t</w:t>
      </w:r>
      <w:r>
        <w:rPr>
          <w:rFonts w:ascii="Times New Roman" w:hAnsi="Times New Roman" w:cs="Times New Roman"/>
          <w:sz w:val="24"/>
          <w:szCs w:val="24"/>
          <w:lang w:val="en-US"/>
        </w:rPr>
        <w:t>hat Can be Implemented</w:t>
      </w:r>
      <w:r w:rsidR="00165F6C">
        <w:rPr>
          <w:rFonts w:ascii="Times New Roman" w:hAnsi="Times New Roman" w:cs="Times New Roman"/>
          <w:sz w:val="24"/>
          <w:szCs w:val="24"/>
          <w:lang w:val="en-US"/>
        </w:rPr>
        <w:t xml:space="preserve"> to Change it</w:t>
      </w:r>
    </w:p>
    <w:p w14:paraId="03C87B50" w14:textId="22A2E638" w:rsidR="00B43B72" w:rsidRDefault="00B43B72" w:rsidP="00752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E66C630" w14:textId="05583656" w:rsidR="00B43B72" w:rsidRDefault="00B43B72" w:rsidP="00752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C372D69" w14:textId="77777777" w:rsidR="00752893" w:rsidRDefault="00752893" w:rsidP="00752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556E3F2" w14:textId="7298D52E" w:rsidR="00B43B72" w:rsidRDefault="00B43B72" w:rsidP="00752893">
      <w:pPr>
        <w:spacing w:line="480" w:lineRule="auto"/>
        <w:jc w:val="center"/>
        <w:rPr>
          <w:rFonts w:ascii="Times New Roman" w:hAnsi="Times New Roman" w:cs="Times New Roman"/>
          <w:sz w:val="24"/>
          <w:szCs w:val="24"/>
          <w:lang w:val="en-US"/>
        </w:rPr>
      </w:pPr>
      <w:r w:rsidRPr="00B43B72">
        <w:rPr>
          <w:rFonts w:ascii="Times New Roman" w:hAnsi="Times New Roman" w:cs="Times New Roman"/>
          <w:sz w:val="24"/>
          <w:szCs w:val="24"/>
          <w:lang w:val="en-US"/>
        </w:rPr>
        <w:lastRenderedPageBreak/>
        <w:t>Public Perception of Policing and Changes that Can be Implemented to Change it</w:t>
      </w:r>
    </w:p>
    <w:p w14:paraId="6C977A30"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t>As of 2019, about 54 percent of Americans had confidence in their police service (James et al, 2020). In a modern world where public perception and attitude towards police are constantly changing, several factors determine the levels of trust citizens have in the ability of their police service to maintain an orderly environment. A brief history of American policing provides a deeper understanding of the evolution in relationships between the police and the public. Concerning that, police accountability and ethics in the modern democratic society can be brought to light. Consequently, a review of the current police agencies and their attempt to manage effectiveness, equity, and accountability among officers will enlighten us on how the best practices should be implemented to have harmony between the police and the public. This is essential in the achievement of the police mission to serve the public, and by extension, gain their trust.</w:t>
      </w:r>
    </w:p>
    <w:p w14:paraId="661ED3C5"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t>An understanding of the evolution of policing in the United States would better highlight the changes it has undergone over the years. The earliest establishments of police organizations in the United States were disorganized, informal, and ill-equipped. It was referred to as the Watch system, and it made use of volunteers in the society, who would be responsible for watching over the other members by guarding against fire, crime, or disorder predominantly at night. Brown (2019) explains the three eras into which the evolution of policing in the United States is characterized, which are the Political era, followed by the Reform era, and the subsequent contemporary Community era. It is imperative to take note of the fact that corruption began in the political era, and the reform era was characterized by specific practices aimed at combating corruption such as the establishment of a code of conduct for policemen. Nonetheless, the relationship between police and civilians in the Reform era worsened due to police focus on controlling crime.</w:t>
      </w:r>
    </w:p>
    <w:p w14:paraId="546FE122"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lastRenderedPageBreak/>
        <w:t>Police ethics are important in regulating the behavior of police while doing their jobs. These ethics are a code of conduct that serves as a guideline that ensures they uphold the law while setting the standards for civilians to follow. Therefore, police officers have to take accountability for their actions, especially when they break the law in their endeavors. Corruption and excessive use of force are among the ways police officers can ignore their ethics whenever they feel they are above the law. While police are authorized to use force to subdue some suspects, it should be a last resort and should not be used when the suspect is not resisting arrest. Taking accountability means that they have to accept punishment allocated by the law for any wrongdoings done to civilians. In turn, this accountability creates a sense of trust in the system in the civilians’ minds. Policing in a democratic society is more complex since democracy grants the civilian a say in the laws that inevitably affect the code of ethics for the police officers.</w:t>
      </w:r>
    </w:p>
    <w:p w14:paraId="0B453145"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Modern-day law enforcement agencies are made up of Federal, State, County Law, and Municipal agencies. Federal agencies include the Federal Bureau of Investigation, the Drug Enforcement Administration, the U.S. Customs Service, the Bureau of Alcohol, Tobacco and Firearms, the U.S Marshal’s Service, and the Integration and Naturalization Service. The governor of the state appoints state police directors. The County agency is mainly made up of the Sherriff’s department, while the municipal agency employs local officers in small towns. These agencies use citizen satisfaction surveys, clearance rates, response times, and reduction in crime rates to enhance effectiveness, equity, and accountability among its officer (Sparrow, 2015).  Despite technological advancements requiring better-skilled officers, current systems of accountability have loopholes through which some officers can escape the law. For instance, Sparrow (2015) illustrates the limitations of focusing on the number of crimes, explaining that focusing on reported crimes </w:t>
      </w:r>
      <w:r w:rsidRPr="00165F6C">
        <w:rPr>
          <w:rFonts w:ascii="Times New Roman" w:hAnsi="Times New Roman" w:cs="Times New Roman"/>
          <w:sz w:val="24"/>
          <w:szCs w:val="24"/>
          <w:lang w:val="en-US"/>
        </w:rPr>
        <w:lastRenderedPageBreak/>
        <w:t>overlooks unreported crimes while creating relentless pressure to lower crime numbers which could lead to manipulation of statistics.</w:t>
      </w:r>
    </w:p>
    <w:p w14:paraId="6055A4B7"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t>The lack of accountability among police officers occurs despite several proposals put forward aimed at regaining the public trust. The signing of the Executive Order on Safe Policing for Safe Communities by Donald Trump on June 16</w:t>
      </w:r>
      <w:r w:rsidRPr="00165F6C">
        <w:rPr>
          <w:rFonts w:ascii="Times New Roman" w:hAnsi="Times New Roman" w:cs="Times New Roman"/>
          <w:sz w:val="24"/>
          <w:szCs w:val="24"/>
          <w:vertAlign w:val="superscript"/>
          <w:lang w:val="en-US"/>
        </w:rPr>
        <w:t>th</w:t>
      </w:r>
      <w:r w:rsidRPr="00165F6C">
        <w:rPr>
          <w:rFonts w:ascii="Times New Roman" w:hAnsi="Times New Roman" w:cs="Times New Roman"/>
          <w:sz w:val="24"/>
          <w:szCs w:val="24"/>
          <w:lang w:val="en-US"/>
        </w:rPr>
        <w:t>, 2020, is a practical example of how legislators can exert their power to increase the effectiveness of the police service. This Executive Order directs the Attorney General to certify independent bodies that can assess agencies’ policies in areas such as the use of force, de-escalation, and identifying officers who may require intervention. In addition, it directs the Attorney General to create a database to track and publish data related to instances of excessive use of force by law enforcement (Lampe, 2020). Lampe (2020) also elaborates on a few strategic ways police accountability and public trust can be enhanced, some of which include providing a federal criminal penalty for assault charges against police officers, removing access to military-grade equipment for state police, and funding training in cultural diversity. This fosters a culture of inclusion and community in the society, an essential ingredient for improved police-public relationship.</w:t>
      </w:r>
    </w:p>
    <w:p w14:paraId="74FA12AE"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In light of this, several additional practices can be employed to enhance accountability, effectiveness, and equity among police officers. James (2020) suggests that civilian review boards that review complaints against police officers should be properly used since such boards are constitutionally awarded the ability to conduct independent investigations of internal complaints against police officers. In addition, they should give the board authority to review and make recommendations on training and policy with regard to policing matters. This would promote a fair assessment of any wrongdoings by a police officer from a civilian point of view, followed by recommendations that would punish the behaviour accordingly. Furthermore, the added use of body-worn cameras would help rebuilt </w:t>
      </w:r>
      <w:r w:rsidRPr="00165F6C">
        <w:rPr>
          <w:rFonts w:ascii="Times New Roman" w:hAnsi="Times New Roman" w:cs="Times New Roman"/>
          <w:sz w:val="24"/>
          <w:szCs w:val="24"/>
          <w:lang w:val="en-US"/>
        </w:rPr>
        <w:lastRenderedPageBreak/>
        <w:t>trust between the police and civilians since they can record everything that happens. Police accountability organizations can also be set up to increase awareness of police abuse (Christopher, 2020).</w:t>
      </w:r>
    </w:p>
    <w:p w14:paraId="6A953907" w14:textId="77777777" w:rsidR="00043483" w:rsidRDefault="00165F6C" w:rsidP="00752893">
      <w:pPr>
        <w:spacing w:line="480" w:lineRule="auto"/>
        <w:ind w:firstLine="720"/>
        <w:rPr>
          <w:rFonts w:ascii="Times New Roman" w:hAnsi="Times New Roman" w:cs="Times New Roman"/>
          <w:sz w:val="24"/>
          <w:szCs w:val="24"/>
          <w:lang w:val="en-US"/>
        </w:rPr>
      </w:pPr>
      <w:r w:rsidRPr="00165F6C">
        <w:rPr>
          <w:rFonts w:ascii="Times New Roman" w:hAnsi="Times New Roman" w:cs="Times New Roman"/>
          <w:sz w:val="24"/>
          <w:szCs w:val="24"/>
          <w:lang w:val="en-US"/>
        </w:rPr>
        <w:t>In conclusion, the distrust between the public and the police force is at an all-time high, mainly due to the lack of accountability and effectiveness of the police force.  The current systems ensuring equity and accountability among police officers, therefore, need to change. Community policing is seen as one of the avenues to repair this relationship between civilians and police officers (James et al, 2020). Furthermore, civilian review boards employed to deliberate on complaints against police officers would promote accountability, alongside increased use of body-wear cameras. Lastly, police accountability organizations would help educate the public on police abuse and avenues of seeking justice. It is, therefore, possible to seal the gap in connection between police and civilians in a bid to foster a harmonious environment conducive for both sides.</w:t>
      </w:r>
    </w:p>
    <w:p w14:paraId="0346D6BE" w14:textId="77777777" w:rsidR="00752893" w:rsidRDefault="00752893" w:rsidP="0075289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5C3541D" w14:textId="7B7CF16D" w:rsidR="00043483" w:rsidRDefault="00165F6C" w:rsidP="00752893">
      <w:pPr>
        <w:spacing w:line="480" w:lineRule="auto"/>
        <w:jc w:val="center"/>
        <w:rPr>
          <w:rFonts w:ascii="Times New Roman" w:hAnsi="Times New Roman" w:cs="Times New Roman"/>
          <w:bCs/>
          <w:sz w:val="24"/>
          <w:szCs w:val="24"/>
          <w:lang w:val="en-US"/>
        </w:rPr>
      </w:pPr>
      <w:r w:rsidRPr="00165F6C">
        <w:rPr>
          <w:rFonts w:ascii="Times New Roman" w:hAnsi="Times New Roman" w:cs="Times New Roman"/>
          <w:bCs/>
          <w:sz w:val="24"/>
          <w:szCs w:val="24"/>
          <w:lang w:val="en-US"/>
        </w:rPr>
        <w:lastRenderedPageBreak/>
        <w:t>References</w:t>
      </w:r>
    </w:p>
    <w:p w14:paraId="63054C26" w14:textId="77777777" w:rsidR="00DA2D4C" w:rsidRDefault="00DA2D4C" w:rsidP="00752893">
      <w:pPr>
        <w:spacing w:line="480" w:lineRule="auto"/>
        <w:ind w:left="720" w:hanging="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Brown, R. (2019). Policing in American History. </w:t>
      </w:r>
      <w:r w:rsidRPr="00165F6C">
        <w:rPr>
          <w:rFonts w:ascii="Times New Roman" w:hAnsi="Times New Roman" w:cs="Times New Roman"/>
          <w:i/>
          <w:sz w:val="24"/>
          <w:szCs w:val="24"/>
          <w:lang w:val="en-US"/>
        </w:rPr>
        <w:t>Du Bois Review,</w:t>
      </w:r>
      <w:r w:rsidRPr="00165F6C">
        <w:rPr>
          <w:rFonts w:ascii="Times New Roman" w:hAnsi="Times New Roman" w:cs="Times New Roman"/>
          <w:sz w:val="24"/>
          <w:szCs w:val="24"/>
          <w:lang w:val="en-US"/>
        </w:rPr>
        <w:t xml:space="preserve"> 16:1. 189–195. doi:10.1017/S1742058X19000171</w:t>
      </w:r>
      <w:r>
        <w:rPr>
          <w:rFonts w:ascii="Times New Roman" w:hAnsi="Times New Roman" w:cs="Times New Roman"/>
          <w:sz w:val="24"/>
          <w:szCs w:val="24"/>
          <w:lang w:val="en-US"/>
        </w:rPr>
        <w:t>.</w:t>
      </w:r>
    </w:p>
    <w:p w14:paraId="5D47464A" w14:textId="77777777" w:rsidR="00DA2D4C" w:rsidRDefault="00DA2D4C" w:rsidP="00752893">
      <w:pPr>
        <w:spacing w:line="480" w:lineRule="auto"/>
        <w:ind w:left="720" w:hanging="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 Christopher, R. (2020). “El Grito de Sunset Park: Cop Watching, Community Organizing, and Video Activism”. </w:t>
      </w:r>
      <w:r w:rsidRPr="00165F6C">
        <w:rPr>
          <w:rFonts w:ascii="Times New Roman" w:hAnsi="Times New Roman" w:cs="Times New Roman"/>
          <w:i/>
          <w:iCs/>
          <w:sz w:val="24"/>
          <w:szCs w:val="24"/>
          <w:lang w:val="en-US"/>
        </w:rPr>
        <w:t>Journal of Cinema and Media Studies</w:t>
      </w:r>
      <w:r w:rsidRPr="00165F6C">
        <w:rPr>
          <w:rFonts w:ascii="Times New Roman" w:hAnsi="Times New Roman" w:cs="Times New Roman"/>
          <w:sz w:val="24"/>
          <w:szCs w:val="24"/>
          <w:lang w:val="en-US"/>
        </w:rPr>
        <w:t>. </w:t>
      </w:r>
      <w:r w:rsidRPr="00165F6C">
        <w:rPr>
          <w:rFonts w:ascii="Times New Roman" w:hAnsi="Times New Roman" w:cs="Times New Roman"/>
          <w:b/>
          <w:bCs/>
          <w:sz w:val="24"/>
          <w:szCs w:val="24"/>
          <w:lang w:val="en-US"/>
        </w:rPr>
        <w:t>59</w:t>
      </w:r>
      <w:r w:rsidRPr="00165F6C">
        <w:rPr>
          <w:rFonts w:ascii="Times New Roman" w:hAnsi="Times New Roman" w:cs="Times New Roman"/>
          <w:sz w:val="24"/>
          <w:szCs w:val="24"/>
          <w:lang w:val="en-US"/>
        </w:rPr>
        <w:t> (2): 62-87.  </w:t>
      </w:r>
      <w:hyperlink r:id="rId6" w:tooltip="Doi (identifier)" w:history="1">
        <w:r w:rsidRPr="00165F6C">
          <w:rPr>
            <w:rStyle w:val="Hyperlink"/>
            <w:rFonts w:ascii="Times New Roman" w:hAnsi="Times New Roman" w:cs="Times New Roman"/>
            <w:sz w:val="24"/>
            <w:szCs w:val="24"/>
            <w:lang w:val="en-US"/>
          </w:rPr>
          <w:t>doi</w:t>
        </w:r>
      </w:hyperlink>
      <w:r w:rsidRPr="00165F6C">
        <w:rPr>
          <w:rFonts w:ascii="Times New Roman" w:hAnsi="Times New Roman" w:cs="Times New Roman"/>
          <w:sz w:val="24"/>
          <w:szCs w:val="24"/>
          <w:lang w:val="en-US"/>
        </w:rPr>
        <w:t>:</w:t>
      </w:r>
      <w:hyperlink r:id="rId7" w:history="1">
        <w:r w:rsidRPr="00165F6C">
          <w:rPr>
            <w:rStyle w:val="Hyperlink"/>
            <w:rFonts w:ascii="Times New Roman" w:hAnsi="Times New Roman" w:cs="Times New Roman"/>
            <w:sz w:val="24"/>
            <w:szCs w:val="24"/>
            <w:lang w:val="en-US"/>
          </w:rPr>
          <w:t>10.1353/CJ.2020.0003</w:t>
        </w:r>
      </w:hyperlink>
    </w:p>
    <w:p w14:paraId="126061B9" w14:textId="77777777" w:rsidR="00DA2D4C" w:rsidRDefault="00DA2D4C" w:rsidP="00752893">
      <w:pPr>
        <w:spacing w:line="480" w:lineRule="auto"/>
        <w:ind w:left="720" w:hanging="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James, N. (2020). </w:t>
      </w:r>
      <w:r w:rsidRPr="00165F6C">
        <w:rPr>
          <w:rFonts w:ascii="Times New Roman" w:hAnsi="Times New Roman" w:cs="Times New Roman"/>
          <w:i/>
          <w:sz w:val="24"/>
          <w:szCs w:val="24"/>
          <w:lang w:val="en-US"/>
        </w:rPr>
        <w:t>Police Accountability Measures</w:t>
      </w:r>
      <w:r w:rsidRPr="00165F6C">
        <w:rPr>
          <w:rFonts w:ascii="Times New Roman" w:hAnsi="Times New Roman" w:cs="Times New Roman"/>
          <w:sz w:val="24"/>
          <w:szCs w:val="24"/>
          <w:lang w:val="en-US"/>
        </w:rPr>
        <w:t>. Congressional Research Services IF 11572.</w:t>
      </w:r>
    </w:p>
    <w:p w14:paraId="1691ABB5" w14:textId="77777777" w:rsidR="00DA2D4C" w:rsidRDefault="00DA2D4C" w:rsidP="00752893">
      <w:pPr>
        <w:spacing w:line="480" w:lineRule="auto"/>
        <w:ind w:left="720" w:hanging="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James, N., Finklea, K., Novak, W., Lampe, J., Sekar, K., &amp; Anderson, A. (2020). </w:t>
      </w:r>
      <w:r w:rsidRPr="00165F6C">
        <w:rPr>
          <w:rFonts w:ascii="Times New Roman" w:hAnsi="Times New Roman" w:cs="Times New Roman"/>
          <w:i/>
          <w:sz w:val="24"/>
          <w:szCs w:val="24"/>
          <w:lang w:val="en-US"/>
        </w:rPr>
        <w:t>Public Trust and law Enforcement – A Discussion for Policymakers</w:t>
      </w:r>
      <w:r w:rsidRPr="00165F6C">
        <w:rPr>
          <w:rFonts w:ascii="Times New Roman" w:hAnsi="Times New Roman" w:cs="Times New Roman"/>
          <w:sz w:val="24"/>
          <w:szCs w:val="24"/>
          <w:lang w:val="en-US"/>
        </w:rPr>
        <w:t>. Congressional Research services.</w:t>
      </w:r>
    </w:p>
    <w:p w14:paraId="6D750CC0" w14:textId="77777777" w:rsidR="00DA2D4C" w:rsidRDefault="00DA2D4C" w:rsidP="00752893">
      <w:pPr>
        <w:spacing w:line="480" w:lineRule="auto"/>
        <w:ind w:left="720" w:hanging="720"/>
        <w:rPr>
          <w:rFonts w:ascii="Times New Roman" w:hAnsi="Times New Roman" w:cs="Times New Roman"/>
          <w:sz w:val="24"/>
          <w:szCs w:val="24"/>
          <w:lang w:val="en-US"/>
        </w:rPr>
      </w:pPr>
      <w:r w:rsidRPr="00165F6C">
        <w:rPr>
          <w:rFonts w:ascii="Times New Roman" w:hAnsi="Times New Roman" w:cs="Times New Roman"/>
          <w:sz w:val="24"/>
          <w:szCs w:val="24"/>
          <w:lang w:val="en-US"/>
        </w:rPr>
        <w:t>Lampe, J. (2020</w:t>
      </w:r>
      <w:r w:rsidRPr="00165F6C">
        <w:rPr>
          <w:rFonts w:ascii="Times New Roman" w:hAnsi="Times New Roman" w:cs="Times New Roman"/>
          <w:i/>
          <w:sz w:val="24"/>
          <w:szCs w:val="24"/>
          <w:lang w:val="en-US"/>
        </w:rPr>
        <w:t>). Congress and Police Reform: Current Law and Recent Proposals</w:t>
      </w:r>
      <w:r w:rsidRPr="00165F6C">
        <w:rPr>
          <w:rFonts w:ascii="Times New Roman" w:hAnsi="Times New Roman" w:cs="Times New Roman"/>
          <w:sz w:val="24"/>
          <w:szCs w:val="24"/>
          <w:lang w:val="en-US"/>
        </w:rPr>
        <w:t>. Congressional Research Services Legal Sidebar LSB10486.</w:t>
      </w:r>
    </w:p>
    <w:p w14:paraId="3E772553" w14:textId="0FB8A847" w:rsidR="00DA2D4C" w:rsidRPr="008647FA" w:rsidRDefault="00DA2D4C" w:rsidP="00752893">
      <w:pPr>
        <w:spacing w:line="480" w:lineRule="auto"/>
        <w:ind w:left="720" w:hanging="720"/>
        <w:rPr>
          <w:rFonts w:ascii="Times New Roman" w:hAnsi="Times New Roman" w:cs="Times New Roman"/>
          <w:sz w:val="24"/>
          <w:szCs w:val="24"/>
          <w:lang w:val="en-US"/>
        </w:rPr>
      </w:pPr>
      <w:r w:rsidRPr="00165F6C">
        <w:rPr>
          <w:rFonts w:ascii="Times New Roman" w:hAnsi="Times New Roman" w:cs="Times New Roman"/>
          <w:sz w:val="24"/>
          <w:szCs w:val="24"/>
          <w:lang w:val="en-US"/>
        </w:rPr>
        <w:t xml:space="preserve">Sparrow, </w:t>
      </w:r>
      <w:r w:rsidR="00177BE6" w:rsidRPr="00165F6C">
        <w:rPr>
          <w:rFonts w:ascii="Times New Roman" w:hAnsi="Times New Roman" w:cs="Times New Roman"/>
          <w:sz w:val="24"/>
          <w:szCs w:val="24"/>
          <w:lang w:val="en-US"/>
        </w:rPr>
        <w:t>M. (</w:t>
      </w:r>
      <w:r w:rsidRPr="00165F6C">
        <w:rPr>
          <w:rFonts w:ascii="Times New Roman" w:hAnsi="Times New Roman" w:cs="Times New Roman"/>
          <w:sz w:val="24"/>
          <w:szCs w:val="24"/>
          <w:lang w:val="en-US"/>
        </w:rPr>
        <w:t xml:space="preserve">2015). Measuring Performance in a Modern Police Organization. </w:t>
      </w:r>
      <w:r w:rsidRPr="00165F6C">
        <w:rPr>
          <w:rFonts w:ascii="Times New Roman" w:hAnsi="Times New Roman" w:cs="Times New Roman"/>
          <w:i/>
          <w:sz w:val="24"/>
          <w:szCs w:val="24"/>
          <w:lang w:val="en-US"/>
        </w:rPr>
        <w:t>New Perspectives in Policing Bulletin.</w:t>
      </w:r>
      <w:r w:rsidRPr="00165F6C">
        <w:rPr>
          <w:rFonts w:ascii="Times New Roman" w:hAnsi="Times New Roman" w:cs="Times New Roman"/>
          <w:sz w:val="24"/>
          <w:szCs w:val="24"/>
          <w:lang w:val="en-US"/>
        </w:rPr>
        <w:t xml:space="preserve"> Washington, D.C.: U.S. Department of Justice, National Institute of Justice, 2015. NCJ 248476</w:t>
      </w:r>
      <w:r>
        <w:rPr>
          <w:rFonts w:ascii="Times New Roman" w:hAnsi="Times New Roman" w:cs="Times New Roman"/>
          <w:sz w:val="24"/>
          <w:szCs w:val="24"/>
          <w:lang w:val="en-US"/>
        </w:rPr>
        <w:t>.</w:t>
      </w:r>
    </w:p>
    <w:sectPr w:rsidR="00DA2D4C" w:rsidRPr="008647FA" w:rsidSect="00165F6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12B293" w14:textId="77777777" w:rsidR="00D60219" w:rsidRDefault="00D60219" w:rsidP="00165F6C">
      <w:pPr>
        <w:spacing w:after="0" w:line="240" w:lineRule="auto"/>
      </w:pPr>
      <w:r>
        <w:separator/>
      </w:r>
    </w:p>
  </w:endnote>
  <w:endnote w:type="continuationSeparator" w:id="0">
    <w:p w14:paraId="6805C6C2" w14:textId="77777777" w:rsidR="00D60219" w:rsidRDefault="00D60219" w:rsidP="00165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CC82E" w14:textId="77777777" w:rsidR="00D60219" w:rsidRDefault="00D60219" w:rsidP="00165F6C">
      <w:pPr>
        <w:spacing w:after="0" w:line="240" w:lineRule="auto"/>
      </w:pPr>
      <w:r>
        <w:separator/>
      </w:r>
    </w:p>
  </w:footnote>
  <w:footnote w:type="continuationSeparator" w:id="0">
    <w:p w14:paraId="2506CB2B" w14:textId="77777777" w:rsidR="00D60219" w:rsidRDefault="00D60219" w:rsidP="00165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457375151"/>
      <w:docPartObj>
        <w:docPartGallery w:val="Page Numbers (Top of Page)"/>
        <w:docPartUnique/>
      </w:docPartObj>
    </w:sdtPr>
    <w:sdtEndPr>
      <w:rPr>
        <w:noProof/>
      </w:rPr>
    </w:sdtEndPr>
    <w:sdtContent>
      <w:p w14:paraId="350AC56A" w14:textId="503ECC0D" w:rsidR="00165F6C" w:rsidRPr="00165F6C" w:rsidRDefault="00165F6C" w:rsidP="00165F6C">
        <w:pPr>
          <w:pStyle w:val="Header"/>
          <w:jc w:val="right"/>
          <w:rPr>
            <w:rFonts w:ascii="Times New Roman" w:hAnsi="Times New Roman" w:cs="Times New Roman"/>
            <w:sz w:val="19"/>
            <w:szCs w:val="19"/>
          </w:rPr>
        </w:pPr>
        <w:r w:rsidRPr="00165F6C">
          <w:rPr>
            <w:rFonts w:ascii="Times New Roman" w:hAnsi="Times New Roman" w:cs="Times New Roman"/>
            <w:sz w:val="19"/>
            <w:szCs w:val="19"/>
            <w:lang w:val="en-US"/>
          </w:rPr>
          <w:t>PUBLIC PERCEPTION OF POLICING AND CHANGES THAT CAN BE IMPLEMENTED TO CHANGE IT</w:t>
        </w:r>
        <w:r>
          <w:rPr>
            <w:rFonts w:ascii="Times New Roman" w:hAnsi="Times New Roman" w:cs="Times New Roman"/>
            <w:sz w:val="19"/>
            <w:szCs w:val="19"/>
          </w:rPr>
          <w:tab/>
        </w:r>
        <w:r w:rsidRPr="00165F6C">
          <w:rPr>
            <w:rFonts w:ascii="Times New Roman" w:hAnsi="Times New Roman" w:cs="Times New Roman"/>
            <w:sz w:val="19"/>
            <w:szCs w:val="19"/>
          </w:rPr>
          <w:fldChar w:fldCharType="begin"/>
        </w:r>
        <w:r w:rsidRPr="00165F6C">
          <w:rPr>
            <w:rFonts w:ascii="Times New Roman" w:hAnsi="Times New Roman" w:cs="Times New Roman"/>
            <w:sz w:val="19"/>
            <w:szCs w:val="19"/>
          </w:rPr>
          <w:instrText xml:space="preserve"> PAGE   \* MERGEFORMAT </w:instrText>
        </w:r>
        <w:r w:rsidRPr="00165F6C">
          <w:rPr>
            <w:rFonts w:ascii="Times New Roman" w:hAnsi="Times New Roman" w:cs="Times New Roman"/>
            <w:sz w:val="19"/>
            <w:szCs w:val="19"/>
          </w:rPr>
          <w:fldChar w:fldCharType="separate"/>
        </w:r>
        <w:r w:rsidRPr="00165F6C">
          <w:rPr>
            <w:rFonts w:ascii="Times New Roman" w:hAnsi="Times New Roman" w:cs="Times New Roman"/>
            <w:noProof/>
            <w:sz w:val="19"/>
            <w:szCs w:val="19"/>
          </w:rPr>
          <w:t>2</w:t>
        </w:r>
        <w:r w:rsidRPr="00165F6C">
          <w:rPr>
            <w:rFonts w:ascii="Times New Roman" w:hAnsi="Times New Roman" w:cs="Times New Roman"/>
            <w:noProof/>
            <w:sz w:val="19"/>
            <w:szCs w:val="19"/>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224639667"/>
      <w:docPartObj>
        <w:docPartGallery w:val="Page Numbers (Top of Page)"/>
        <w:docPartUnique/>
      </w:docPartObj>
    </w:sdtPr>
    <w:sdtEndPr>
      <w:rPr>
        <w:noProof/>
      </w:rPr>
    </w:sdtEndPr>
    <w:sdtContent>
      <w:p w14:paraId="42A7DDE8" w14:textId="32D3FFC4" w:rsidR="00165F6C" w:rsidRPr="00165F6C" w:rsidRDefault="00165F6C" w:rsidP="00165F6C">
        <w:pPr>
          <w:pStyle w:val="Header"/>
          <w:jc w:val="right"/>
          <w:rPr>
            <w:rFonts w:ascii="Times New Roman" w:hAnsi="Times New Roman" w:cs="Times New Roman"/>
            <w:sz w:val="17"/>
            <w:szCs w:val="17"/>
          </w:rPr>
        </w:pPr>
        <w:r w:rsidRPr="00165F6C">
          <w:rPr>
            <w:rFonts w:ascii="Times New Roman" w:hAnsi="Times New Roman" w:cs="Times New Roman"/>
            <w:sz w:val="17"/>
            <w:szCs w:val="17"/>
            <w:lang w:val="en-US"/>
          </w:rPr>
          <w:t>Running head: PUBLIC PERCEPTION OF POLICING AND CHANGES THAT CAN BE IMPLEMENTED TO CHANGE IT</w:t>
        </w:r>
        <w:r>
          <w:rPr>
            <w:rFonts w:ascii="Times New Roman" w:hAnsi="Times New Roman" w:cs="Times New Roman"/>
            <w:sz w:val="17"/>
            <w:szCs w:val="17"/>
          </w:rPr>
          <w:tab/>
        </w:r>
        <w:r w:rsidRPr="00165F6C">
          <w:rPr>
            <w:rFonts w:ascii="Times New Roman" w:hAnsi="Times New Roman" w:cs="Times New Roman"/>
            <w:sz w:val="17"/>
            <w:szCs w:val="17"/>
          </w:rPr>
          <w:fldChar w:fldCharType="begin"/>
        </w:r>
        <w:r w:rsidRPr="00165F6C">
          <w:rPr>
            <w:rFonts w:ascii="Times New Roman" w:hAnsi="Times New Roman" w:cs="Times New Roman"/>
            <w:sz w:val="17"/>
            <w:szCs w:val="17"/>
          </w:rPr>
          <w:instrText xml:space="preserve"> PAGE   \* MERGEFORMAT </w:instrText>
        </w:r>
        <w:r w:rsidRPr="00165F6C">
          <w:rPr>
            <w:rFonts w:ascii="Times New Roman" w:hAnsi="Times New Roman" w:cs="Times New Roman"/>
            <w:sz w:val="17"/>
            <w:szCs w:val="17"/>
          </w:rPr>
          <w:fldChar w:fldCharType="separate"/>
        </w:r>
        <w:r w:rsidRPr="00165F6C">
          <w:rPr>
            <w:rFonts w:ascii="Times New Roman" w:hAnsi="Times New Roman" w:cs="Times New Roman"/>
            <w:noProof/>
            <w:sz w:val="17"/>
            <w:szCs w:val="17"/>
          </w:rPr>
          <w:t>2</w:t>
        </w:r>
        <w:r w:rsidRPr="00165F6C">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xMrAwNzA0tzQxNzRT0lEKTi0uzszPAykwrAUAkwRwOSwAAAA="/>
  </w:docVars>
  <w:rsids>
    <w:rsidRoot w:val="008647FA"/>
    <w:rsid w:val="00043483"/>
    <w:rsid w:val="00165F6C"/>
    <w:rsid w:val="00177BE6"/>
    <w:rsid w:val="001F73EF"/>
    <w:rsid w:val="00752893"/>
    <w:rsid w:val="008647FA"/>
    <w:rsid w:val="00906FFC"/>
    <w:rsid w:val="00A37446"/>
    <w:rsid w:val="00B43B72"/>
    <w:rsid w:val="00C9435F"/>
    <w:rsid w:val="00D60219"/>
    <w:rsid w:val="00DA2D4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50C7D"/>
  <w15:chartTrackingRefBased/>
  <w15:docId w15:val="{10254025-4AC9-4E44-872A-252A88992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F6C"/>
    <w:rPr>
      <w:color w:val="0563C1" w:themeColor="hyperlink"/>
      <w:u w:val="single"/>
    </w:rPr>
  </w:style>
  <w:style w:type="character" w:styleId="UnresolvedMention">
    <w:name w:val="Unresolved Mention"/>
    <w:basedOn w:val="DefaultParagraphFont"/>
    <w:uiPriority w:val="99"/>
    <w:semiHidden/>
    <w:unhideWhenUsed/>
    <w:rsid w:val="00165F6C"/>
    <w:rPr>
      <w:color w:val="605E5C"/>
      <w:shd w:val="clear" w:color="auto" w:fill="E1DFDD"/>
    </w:rPr>
  </w:style>
  <w:style w:type="paragraph" w:styleId="Header">
    <w:name w:val="header"/>
    <w:basedOn w:val="Normal"/>
    <w:link w:val="HeaderChar"/>
    <w:uiPriority w:val="99"/>
    <w:unhideWhenUsed/>
    <w:rsid w:val="00165F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F6C"/>
  </w:style>
  <w:style w:type="paragraph" w:styleId="Footer">
    <w:name w:val="footer"/>
    <w:basedOn w:val="Normal"/>
    <w:link w:val="FooterChar"/>
    <w:uiPriority w:val="99"/>
    <w:unhideWhenUsed/>
    <w:rsid w:val="00165F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353%2Fcj.2020.00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Doi_(identifi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1277</Words>
  <Characters>7285</Characters>
  <Application>Microsoft Office Word</Application>
  <DocSecurity>0</DocSecurity>
  <Lines>60</Lines>
  <Paragraphs>17</Paragraphs>
  <ScaleCrop>false</ScaleCrop>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2020-11-21T08:27:00Z</dcterms:created>
  <dcterms:modified xsi:type="dcterms:W3CDTF">2020-11-21T08:37:00Z</dcterms:modified>
</cp:coreProperties>
</file>